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28</w:t>
      </w:r>
      <w:r>
        <w:rPr>
          <w:rFonts w:hint="eastAsia"/>
        </w:rPr>
        <w:t>号</w:t>
      </w:r>
    </w:p>
    <w:p>
      <w:pPr>
        <w:pStyle w:val="0"/>
        <w:rPr>
          <w:rFonts w:hint="eastAsia"/>
        </w:rPr>
      </w:pPr>
    </w:p>
    <w:p>
      <w:pPr>
        <w:pStyle w:val="0"/>
        <w:jc w:val="center"/>
        <w:rPr>
          <w:rFonts w:hint="eastAsia"/>
        </w:rPr>
      </w:pPr>
      <w:r>
        <w:rPr>
          <w:rFonts w:hint="eastAsia"/>
        </w:rPr>
        <w:t>自立支援医療費（育成医療・更生医療）不支給決定通知書</w:t>
      </w:r>
    </w:p>
    <w:p>
      <w:pPr>
        <w:pStyle w:val="0"/>
        <w:rPr>
          <w:rFonts w:hint="eastAsia"/>
        </w:rPr>
      </w:pP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様</w:t>
      </w:r>
    </w:p>
    <w:p>
      <w:pPr>
        <w:pStyle w:val="0"/>
        <w:rPr>
          <w:rFonts w:hint="eastAsia"/>
        </w:rPr>
      </w:pPr>
      <w:r>
        <w:rPr>
          <w:rFonts w:hint="eastAsia"/>
        </w:rPr>
        <w:t>　　　　　　　　　　　　　　　　　　　　　　　　日南町福祉事務所長</w:t>
      </w:r>
    </w:p>
    <w:p>
      <w:pPr>
        <w:pStyle w:val="0"/>
        <w:rPr>
          <w:rFonts w:hint="eastAsia"/>
        </w:rPr>
      </w:pPr>
    </w:p>
    <w:p>
      <w:pPr>
        <w:pStyle w:val="0"/>
        <w:rPr>
          <w:rFonts w:hint="eastAsia"/>
        </w:rPr>
      </w:pPr>
      <w:r>
        <w:rPr>
          <w:rFonts w:hint="eastAsia"/>
        </w:rPr>
        <w:t>　　障害者の日常生活及び社会生活を総合的に支援するための法律第５３条</w:t>
      </w:r>
      <w:r>
        <w:rPr>
          <w:rFonts w:hint="eastAsia"/>
        </w:rPr>
        <w:t>1</w:t>
      </w:r>
      <w:r>
        <w:rPr>
          <w:rFonts w:hint="eastAsia"/>
        </w:rPr>
        <w:t>項の規定による自立支援医療の申請は、下記の理由により認定しないことに決定しましたので通知します。</w:t>
      </w:r>
    </w:p>
    <w:p>
      <w:pPr>
        <w:pStyle w:val="0"/>
        <w:rPr>
          <w:rFonts w:hint="eastAsia"/>
        </w:rPr>
      </w:pPr>
    </w:p>
    <w:p>
      <w:pPr>
        <w:pStyle w:val="15"/>
        <w:rPr>
          <w:rFonts w:hint="eastAsia"/>
        </w:rPr>
      </w:pPr>
      <w:r>
        <w:rPr>
          <w:rFonts w:hint="eastAsia"/>
        </w:rPr>
        <w:t>記</w:t>
      </w:r>
    </w:p>
    <w:p>
      <w:pPr>
        <w:pStyle w:val="0"/>
        <w:rPr>
          <w:rFonts w:hint="eastAsia"/>
        </w:rPr>
      </w:pPr>
    </w:p>
    <w:p>
      <w:pPr>
        <w:pStyle w:val="0"/>
        <w:ind w:left="0" w:leftChars="0" w:firstLine="630" w:firstLineChars="300"/>
        <w:rPr>
          <w:rFonts w:hint="eastAsia"/>
        </w:rPr>
      </w:pPr>
      <w:r>
        <w:rPr>
          <w:rFonts w:hint="eastAsia"/>
        </w:rPr>
        <w:t>　理由</w:t>
      </w:r>
    </w:p>
    <w:p>
      <w:pPr>
        <w:pStyle w:val="0"/>
        <w:ind w:leftChars="0" w:firstLine="1077" w:firstLineChars="513"/>
        <w:rPr>
          <w:rFonts w:hint="eastAsia"/>
        </w:rPr>
      </w:pPr>
      <w:r>
        <w:rPr>
          <w:rFonts w:hint="eastAsia"/>
        </w:rPr>
        <w:t>　１．所得基準を上回る所得であるため</w:t>
      </w:r>
    </w:p>
    <w:p>
      <w:pPr>
        <w:pStyle w:val="0"/>
        <w:ind w:leftChars="0" w:firstLine="1077" w:firstLineChars="513"/>
        <w:rPr>
          <w:rFonts w:hint="eastAsia"/>
        </w:rPr>
      </w:pPr>
      <w:r>
        <w:rPr>
          <w:rFonts w:hint="eastAsia"/>
        </w:rPr>
        <w:t>　</w:t>
      </w:r>
    </w:p>
    <w:p>
      <w:pPr>
        <w:pStyle w:val="0"/>
        <w:ind w:left="0" w:leftChars="0" w:firstLine="1287" w:firstLineChars="613"/>
        <w:rPr>
          <w:rFonts w:hint="eastAsia"/>
        </w:rPr>
      </w:pPr>
      <w:r>
        <w:rPr>
          <w:rFonts w:hint="eastAsia"/>
        </w:rPr>
        <w:t>２．自立支援医療の対象となる疾病、又は障害ではないため</w:t>
      </w:r>
    </w:p>
    <w:p>
      <w:pPr>
        <w:pStyle w:val="0"/>
        <w:ind w:leftChars="0" w:firstLine="1077" w:firstLineChars="513"/>
        <w:rPr>
          <w:rFonts w:hint="eastAsia"/>
        </w:rPr>
      </w:pPr>
      <w:r>
        <w:rPr>
          <w:rFonts w:hint="eastAsia"/>
        </w:rPr>
        <w:t>　</w:t>
      </w:r>
    </w:p>
    <w:p>
      <w:pPr>
        <w:pStyle w:val="0"/>
        <w:ind w:left="0" w:leftChars="0" w:firstLine="1287" w:firstLineChars="613"/>
        <w:rPr>
          <w:rFonts w:hint="eastAsia"/>
        </w:rPr>
      </w:pPr>
      <w:r>
        <w:rPr>
          <w:rFonts w:hint="eastAsia"/>
        </w:rPr>
        <w:t>３．その他（　　　　　　　　　　　　　　　　）</w:t>
      </w:r>
    </w:p>
    <w:p>
      <w:pPr>
        <w:pStyle w:val="0"/>
        <w:rPr>
          <w:rFonts w:hint="eastAsia"/>
        </w:rPr>
      </w:pPr>
    </w:p>
    <w:p>
      <w:pPr>
        <w:pStyle w:val="0"/>
        <w:rPr>
          <w:rFonts w:hint="eastAsia"/>
          <w:sz w:val="20"/>
        </w:rPr>
      </w:pPr>
      <w:r>
        <w:rPr>
          <w:rFonts w:hint="eastAsia"/>
          <w:sz w:val="20"/>
        </w:rPr>
        <w:t>（教示）</w:t>
      </w:r>
    </w:p>
    <w:p>
      <w:pPr>
        <w:pStyle w:val="0"/>
        <w:ind w:left="630" w:hanging="630" w:hangingChars="300"/>
        <w:rPr>
          <w:rFonts w:hint="eastAsia"/>
          <w:sz w:val="20"/>
        </w:rPr>
      </w:pPr>
      <w:r>
        <w:rPr>
          <w:rFonts w:hint="eastAsia"/>
          <w:sz w:val="20"/>
        </w:rPr>
        <w:t>　１．この処分に不服がある場合は、この通知書を受け取った日の翌日から起算して３か月以内に鳥取県知事に審査請求をすることができます。</w:t>
      </w:r>
    </w:p>
    <w:p>
      <w:pPr>
        <w:pStyle w:val="0"/>
        <w:ind w:left="420" w:leftChars="100" w:hanging="210" w:hangingChars="100"/>
        <w:rPr>
          <w:rFonts w:hint="eastAsia"/>
          <w:sz w:val="20"/>
        </w:rPr>
      </w:pPr>
      <w:r>
        <w:rPr>
          <w:rFonts w:hint="eastAsia"/>
          <w:sz w:val="20"/>
        </w:rPr>
        <w:t>２．また、この処分の取り消しを求める訴えをする場合は、前記の審査請求に係る裁決の通知書を受け取った日の翌日から起算して６か月以内に、日南町を被告として（訴訟において日南町を代表する者は日南町長となります。）、提起することができます。なお、処分の取り消しの訴えについては、前記の審査請求の裁決を経た後でなければ提起することができないこととされていますが、次の各号のいずれかに該当することきは、審査請求に対する裁決を経ないで処分の取り消しの訴えを提起することができます。</w:t>
      </w:r>
    </w:p>
    <w:p>
      <w:pPr>
        <w:pStyle w:val="0"/>
        <w:rPr>
          <w:rFonts w:hint="eastAsia"/>
          <w:sz w:val="20"/>
        </w:rPr>
      </w:pPr>
      <w:r>
        <w:rPr>
          <w:rFonts w:hint="eastAsia"/>
          <w:sz w:val="20"/>
        </w:rPr>
        <w:t>　　（１）審査請求があった日から３か月を経過しても裁決がないとき。</w:t>
      </w:r>
    </w:p>
    <w:p>
      <w:pPr>
        <w:pStyle w:val="0"/>
        <w:ind w:left="1050" w:hanging="1050" w:hangingChars="500"/>
        <w:rPr>
          <w:rFonts w:hint="eastAsia"/>
          <w:sz w:val="20"/>
        </w:rPr>
      </w:pPr>
      <w:r>
        <w:rPr>
          <w:rFonts w:hint="eastAsia"/>
          <w:sz w:val="20"/>
        </w:rPr>
        <w:t>　　（２）処分、処分の執行又は手続きの続行により生じる著しい損害を避けるため緊急の必要があるとき。</w:t>
      </w:r>
    </w:p>
    <w:p>
      <w:pPr>
        <w:pStyle w:val="0"/>
        <w:rPr>
          <w:rFonts w:hint="eastAsia"/>
          <w:sz w:val="20"/>
        </w:rPr>
      </w:pPr>
      <w:r>
        <w:rPr>
          <w:rFonts w:hint="eastAsia"/>
          <w:sz w:val="20"/>
        </w:rPr>
        <w:t>　　（３）その他裁決を経ないことにつき正当な理由があるとき。</w:t>
      </w:r>
    </w:p>
    <w:p>
      <w:pPr>
        <w:pStyle w:val="0"/>
        <w:ind w:left="420" w:leftChars="100" w:hanging="210" w:hangingChars="100"/>
        <w:rPr>
          <w:rFonts w:hint="eastAsia"/>
        </w:rPr>
      </w:pPr>
      <w:r>
        <w:rPr>
          <w:rFonts w:hint="eastAsia"/>
          <w:sz w:val="20"/>
        </w:rPr>
        <w:t>３．</w:t>
      </w:r>
      <w:r>
        <w:rPr>
          <w:rFonts w:hint="eastAsia" w:ascii="ＭＳ 明朝" w:hAnsi="ＭＳ 明朝"/>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p>
      <w:pPr>
        <w:pStyle w:val="0"/>
        <w:rPr>
          <w:rFonts w:hint="eastAsia" w:ascii="ＭＳ 明朝" w:hAnsi="ＭＳ 明朝" w:eastAsia="ＭＳ 明朝"/>
        </w:rPr>
      </w:pPr>
    </w:p>
    <w:p>
      <w:pPr>
        <w:pStyle w:val="0"/>
        <w:ind w:firstLineChars="0"/>
        <w:rPr>
          <w:rFonts w:hint="eastAsia" w:ascii="ＭＳ 明朝" w:hAnsi="ＭＳ 明朝" w:eastAsia="ＭＳ 明朝"/>
        </w:rPr>
      </w:pPr>
      <w:r>
        <w:rPr>
          <w:rFonts w:hint="eastAsia" w:ascii="ＭＳ 明朝" w:hAnsi="ＭＳ 明朝"/>
          <w:sz w:val="20"/>
        </w:rPr>
        <w:t>問い合わせ先</w:t>
      </w:r>
    </w:p>
    <w:p>
      <w:pPr>
        <w:pStyle w:val="0"/>
        <w:ind w:firstLine="200" w:firstLineChars="100"/>
        <w:rPr>
          <w:rFonts w:hint="eastAsia" w:ascii="ＭＳ 明朝" w:hAnsi="ＭＳ 明朝" w:eastAsia="ＭＳ 明朝"/>
        </w:rPr>
      </w:pPr>
      <w:r>
        <w:rPr>
          <w:rFonts w:hint="eastAsia" w:ascii="ＭＳ 明朝" w:hAnsi="ＭＳ 明朝"/>
          <w:sz w:val="20"/>
        </w:rPr>
        <w:t>日南町　福祉事務所（福祉保健課</w:t>
      </w:r>
      <w:bookmarkStart w:id="0" w:name="_GoBack"/>
      <w:bookmarkEnd w:id="0"/>
      <w:r>
        <w:rPr>
          <w:rFonts w:hint="eastAsia" w:ascii="ＭＳ 明朝" w:hAnsi="ＭＳ 明朝"/>
          <w:sz w:val="20"/>
        </w:rPr>
        <w:t>）</w:t>
      </w:r>
    </w:p>
    <w:p>
      <w:pPr>
        <w:pStyle w:val="0"/>
        <w:snapToGrid w:val="0"/>
        <w:ind w:firstLine="1200" w:firstLineChars="600"/>
        <w:rPr>
          <w:rFonts w:hint="eastAsia"/>
        </w:rPr>
      </w:pPr>
      <w:r>
        <w:rPr>
          <w:rFonts w:hint="eastAsia" w:ascii="ＭＳ 明朝" w:hAnsi="ＭＳ 明朝"/>
          <w:sz w:val="20"/>
        </w:rPr>
        <w:t>住所　</w:t>
      </w:r>
      <w:r>
        <w:rPr>
          <w:rFonts w:hint="default" w:ascii="ＭＳ 明朝" w:hAnsi="ＭＳ 明朝"/>
          <w:sz w:val="20"/>
        </w:rPr>
        <w:t>鳥取県日野郡日南町生山</w:t>
      </w:r>
      <w:r>
        <w:rPr>
          <w:rFonts w:hint="default" w:ascii="ＭＳ 明朝" w:hAnsi="ＭＳ 明朝"/>
          <w:sz w:val="20"/>
        </w:rPr>
        <w:t>511-5</w:t>
      </w:r>
      <w:r>
        <w:rPr>
          <w:rFonts w:hint="eastAsia" w:ascii="ＭＳ 明朝" w:hAnsi="ＭＳ 明朝"/>
          <w:sz w:val="20"/>
        </w:rPr>
        <w:t>　　</w:t>
      </w:r>
    </w:p>
    <w:p>
      <w:pPr>
        <w:pStyle w:val="0"/>
        <w:snapToGrid w:val="0"/>
        <w:ind w:firstLine="1200" w:firstLineChars="600"/>
        <w:rPr>
          <w:rFonts w:hint="eastAsia"/>
        </w:rPr>
      </w:pPr>
      <w:r>
        <w:rPr>
          <w:rFonts w:hint="eastAsia" w:ascii="ＭＳ 明朝" w:hAnsi="ＭＳ 明朝"/>
          <w:sz w:val="20"/>
        </w:rPr>
        <w:t>電話　</w:t>
      </w:r>
      <w:r>
        <w:rPr>
          <w:rFonts w:hint="default" w:ascii="ＭＳ 明朝" w:hAnsi="ＭＳ 明朝"/>
          <w:sz w:val="20"/>
        </w:rPr>
        <w:t>0859-82-0374</w:t>
      </w:r>
    </w:p>
    <w:sectPr>
      <w:pgSz w:w="11906" w:h="16838"/>
      <w:pgMar w:top="1134"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4</Words>
  <Characters>778</Characters>
  <Application>JUST Note</Application>
  <Lines>40</Lines>
  <Paragraphs>24</Paragraphs>
  <CharactersWithSpaces>851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松田 佳子</cp:lastModifiedBy>
  <cp:lastPrinted>2014-09-19T08:06:00Z</cp:lastPrinted>
  <dcterms:created xsi:type="dcterms:W3CDTF">2014-09-19T07:57:00Z</dcterms:created>
  <dcterms:modified xsi:type="dcterms:W3CDTF">2021-02-17T05:46:00Z</dcterms:modified>
  <cp:revision>1</cp:revision>
</cp:coreProperties>
</file>