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別表（第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0" w:val="00A0"/>
      </w:tblPr>
      <w:tblGrid>
        <w:gridCol w:w="1701"/>
        <w:gridCol w:w="486"/>
        <w:gridCol w:w="3041"/>
        <w:gridCol w:w="707"/>
        <w:gridCol w:w="2334"/>
        <w:gridCol w:w="236"/>
      </w:tblGrid>
      <w:tr>
        <w:trPr>
          <w:trHeight w:val="5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1"/>
              </w:rPr>
              <w:t>区</w:t>
            </w:r>
            <w:r>
              <w:rPr>
                <w:rFonts w:hint="eastAsia"/>
                <w:kern w:val="0"/>
                <w:fitText w:val="972" w:id="1"/>
              </w:rPr>
              <w:t>分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2430" w:id="2"/>
              </w:rPr>
              <w:t>使用</w:t>
            </w:r>
            <w:r>
              <w:rPr>
                <w:rFonts w:hint="eastAsia"/>
                <w:kern w:val="0"/>
                <w:fitText w:val="2430" w:id="2"/>
              </w:rPr>
              <w:t>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月当り）</w:t>
            </w:r>
          </w:p>
        </w:tc>
      </w:tr>
      <w:tr>
        <w:trPr>
          <w:trHeight w:val="18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3"/>
                <w:kern w:val="0"/>
                <w:fitText w:val="1458" w:id="3"/>
              </w:rPr>
              <w:t>一般家</w:t>
            </w:r>
            <w:r>
              <w:rPr>
                <w:rFonts w:hint="eastAsia"/>
                <w:kern w:val="0"/>
                <w:fitText w:val="1458" w:id="3"/>
              </w:rPr>
              <w:t>庭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28"/>
                <w:kern w:val="0"/>
                <w:fitText w:val="1944" w:id="4"/>
              </w:rPr>
              <w:t>基本</w:t>
            </w:r>
            <w:r>
              <w:rPr>
                <w:rFonts w:hint="eastAsia"/>
                <w:spacing w:val="1"/>
                <w:kern w:val="0"/>
                <w:fitText w:val="1944" w:id="4"/>
              </w:rPr>
              <w:t>料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世帯員割</w:t>
            </w:r>
          </w:p>
          <w:p>
            <w:pPr>
              <w:pStyle w:val="0"/>
              <w:widowControl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人当り）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2,868</w:t>
            </w:r>
            <w:r>
              <w:rPr>
                <w:rFonts w:hint="eastAsia"/>
              </w:rPr>
              <w:t>円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286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206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60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5"/>
              </w:rPr>
              <w:t>事業</w:t>
            </w:r>
            <w:r>
              <w:rPr>
                <w:rFonts w:hint="eastAsia"/>
                <w:kern w:val="0"/>
                <w:fitText w:val="1458" w:id="5"/>
              </w:rPr>
              <w:t>所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6"/>
              </w:rPr>
              <w:t>事務</w:t>
            </w:r>
            <w:r>
              <w:rPr>
                <w:rFonts w:hint="eastAsia"/>
                <w:kern w:val="0"/>
                <w:fitText w:val="1458" w:id="6"/>
              </w:rPr>
              <w:t>所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458" w:id="7"/>
              </w:rPr>
              <w:t>公共施設</w:t>
            </w:r>
            <w:r>
              <w:rPr>
                <w:rFonts w:hint="eastAsia"/>
                <w:kern w:val="0"/>
                <w:fitText w:val="1458" w:id="7"/>
              </w:rPr>
              <w:t>等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before="87" w:beforeLines="25" w:before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基本料金に次の金額を加算する。</w:t>
            </w: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1,431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4,295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8,591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人～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17,182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人以上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N w:val="0"/>
              <w:ind w:right="121" w:rightChars="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28,637</w:t>
            </w: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172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店舗併用家庭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世帯人員に使用人員を加算し、一般家庭の料金の額を適用する。</w:t>
            </w:r>
          </w:p>
        </w:tc>
      </w:tr>
      <w:tr>
        <w:trPr>
          <w:trHeight w:val="12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8"/>
              </w:rPr>
              <w:t>飲食</w:t>
            </w:r>
            <w:r>
              <w:rPr>
                <w:rFonts w:hint="eastAsia"/>
                <w:kern w:val="0"/>
                <w:fitText w:val="1458" w:id="8"/>
              </w:rPr>
              <w:t>業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7"/>
                <w:kern w:val="0"/>
                <w:fitText w:val="1458" w:id="9"/>
              </w:rPr>
              <w:t>鮮魚</w:t>
            </w:r>
            <w:r>
              <w:rPr>
                <w:rFonts w:hint="eastAsia"/>
                <w:kern w:val="0"/>
                <w:fitText w:val="1458" w:id="9"/>
              </w:rPr>
              <w:t>店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3"/>
                <w:kern w:val="0"/>
                <w:fitText w:val="1458" w:id="10"/>
              </w:rPr>
              <w:t>理美容</w:t>
            </w:r>
            <w:r>
              <w:rPr>
                <w:rFonts w:hint="eastAsia"/>
                <w:kern w:val="0"/>
                <w:fitText w:val="1458" w:id="10"/>
              </w:rPr>
              <w:t>業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経営主の一般家庭使用料金へ業務</w:t>
            </w:r>
            <w:bookmarkStart w:id="0" w:name="_GoBack"/>
            <w:bookmarkEnd w:id="0"/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>3,340</w:t>
            </w:r>
            <w:r>
              <w:rPr>
                <w:rFonts w:hint="eastAsia"/>
              </w:rPr>
              <w:t>円を加算する。ただし、処理区域内の同じ敷地内で住居と店舗を別棟で所有するものは、同一世帯とみなす。ただし、同一敷地外においては、その限りではない。</w:t>
            </w:r>
          </w:p>
        </w:tc>
      </w:tr>
      <w:tr>
        <w:trPr>
          <w:trHeight w:val="8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before="52" w:beforeLines="15" w:beforeAutospacing="0"/>
              <w:jc w:val="center"/>
              <w:rPr>
                <w:rFonts w:hint="eastAsia"/>
              </w:rPr>
            </w:pPr>
            <w:r>
              <w:rPr>
                <w:rFonts w:hint="eastAsia"/>
                <w:spacing w:val="519"/>
                <w:kern w:val="0"/>
                <w:fitText w:val="1458" w:id="11"/>
              </w:rPr>
              <w:t>病</w:t>
            </w:r>
            <w:r>
              <w:rPr>
                <w:rFonts w:hint="eastAsia"/>
                <w:kern w:val="0"/>
                <w:fitText w:val="1458" w:id="11"/>
              </w:rPr>
              <w:t>院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19"/>
                <w:kern w:val="0"/>
                <w:fitText w:val="1458" w:id="12"/>
              </w:rPr>
              <w:t>医</w:t>
            </w:r>
            <w:r>
              <w:rPr>
                <w:rFonts w:hint="eastAsia"/>
                <w:kern w:val="0"/>
                <w:fitText w:val="1458" w:id="12"/>
              </w:rPr>
              <w:t>院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事業所・事務所・公共施設等の料金を適用し、住居と併用の場合は一般家庭料金を加算する。</w:t>
            </w:r>
          </w:p>
        </w:tc>
      </w:tr>
      <w:tr>
        <w:trPr>
          <w:trHeight w:val="8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その他施設等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43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営業の用に供さず日常生活を営んでいない施設は、一般家庭の基本料金とする。</w:t>
            </w:r>
          </w:p>
        </w:tc>
      </w:tr>
    </w:tbl>
    <w:p>
      <w:pPr>
        <w:pStyle w:val="0"/>
        <w:spacing w:before="87" w:beforeLines="25" w:beforeAutospacing="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left="243" w:leftChars="100"/>
        <w:rPr>
          <w:rFonts w:hint="eastAsia"/>
        </w:rPr>
      </w:pPr>
      <w:r>
        <w:rPr>
          <w:rFonts w:hint="eastAsia"/>
        </w:rPr>
        <w:t>この表の使用人員とは、規則に定める処理対象人員を算定したものをいう。</w:t>
      </w:r>
    </w:p>
    <w:sectPr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60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74</Words>
  <Characters>425</Characters>
  <Application>JUST Note</Application>
  <Lines>3</Lines>
  <Paragraphs>1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Hidenori Suzuki</dc:creator>
  <cp:lastModifiedBy>三好 千春</cp:lastModifiedBy>
  <dcterms:created xsi:type="dcterms:W3CDTF">2025-09-14T12:20:00Z</dcterms:created>
  <dcterms:modified xsi:type="dcterms:W3CDTF">2025-11-14T05:13:30Z</dcterms:modified>
  <cp:revision>2</cp:revision>
</cp:coreProperties>
</file>