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7</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保有個人情報開示決定等期限特例延長通知書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開示請求者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eastAsia="ＭＳ 明朝"/>
          <w:kern w:val="0"/>
        </w:rPr>
      </w:pPr>
      <w:r>
        <w:rPr>
          <w:rFonts w:hint="default" w:ascii="ＭＳ 明朝" w:hAnsi="ＭＳ 明朝"/>
          <w:kern w:val="0"/>
        </w:rPr>
        <w:t>(</w:t>
      </w:r>
      <w:r>
        <w:rPr>
          <w:rFonts w:hint="eastAsia" w:ascii="ＭＳ 明朝" w:hAnsi="ＭＳ 明朝"/>
        </w:rPr>
        <w:t>実施機関</w:t>
      </w:r>
      <w:r>
        <w:rPr>
          <w:rFonts w:hint="default" w:ascii="ＭＳ 明朝" w:hAnsi="ＭＳ 明朝"/>
          <w:kern w:val="0"/>
        </w:rPr>
        <w:t>)</w:t>
      </w:r>
    </w:p>
    <w:p>
      <w:pPr>
        <w:pStyle w:val="0"/>
        <w:jc w:val="right"/>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rPr>
        <w:t>　　　　年　月　日付けで開示請求のあった保有個人情報については、個人情報の保護に関する法律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84</w:t>
      </w:r>
      <w:r>
        <w:rPr>
          <w:rFonts w:hint="eastAsia" w:ascii="ＭＳ 明朝" w:hAnsi="ＭＳ 明朝"/>
        </w:rPr>
        <w:t>条の規定により、下記のとおり開示決定等の期限を延長することとしましたので通知します。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27" w:type="dxa"/>
        <w:tblInd w:w="0" w:type="dxa"/>
        <w:tblLayout w:type="fixed"/>
        <w:tblCellMar>
          <w:left w:w="10" w:type="dxa"/>
          <w:right w:w="10" w:type="dxa"/>
        </w:tblCellMar>
        <w:tblLook w:firstRow="1" w:lastRow="0" w:firstColumn="1" w:lastColumn="0" w:noHBand="0" w:noVBand="1" w:val="04A0"/>
      </w:tblPr>
      <w:tblGrid>
        <w:gridCol w:w="2308"/>
        <w:gridCol w:w="6019"/>
      </w:tblGrid>
      <w:tr>
        <w:trPr>
          <w:trHeight w:val="772" w:hRule="atLeast"/>
        </w:trPr>
        <w:tc>
          <w:tcPr>
            <w:tcW w:w="2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開示請求に係る保有個人情報の名称等</w:t>
            </w:r>
          </w:p>
        </w:tc>
        <w:tc>
          <w:tcPr>
            <w:tcW w:w="6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948" w:hRule="atLeast"/>
        </w:trPr>
        <w:tc>
          <w:tcPr>
            <w:tcW w:w="2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法第</w:t>
            </w:r>
            <w:r>
              <w:rPr>
                <w:rFonts w:hint="default" w:ascii="ＭＳ 明朝" w:hAnsi="ＭＳ 明朝"/>
              </w:rPr>
              <w:t>84</w:t>
            </w:r>
            <w:r>
              <w:rPr>
                <w:rFonts w:hint="eastAsia" w:ascii="ＭＳ 明朝" w:hAnsi="ＭＳ 明朝"/>
              </w:rPr>
              <w:t>条の規定</w:t>
            </w:r>
            <w:r>
              <w:rPr>
                <w:rFonts w:hint="default" w:ascii="ＭＳ 明朝" w:hAnsi="ＭＳ 明朝"/>
              </w:rPr>
              <w:t>(</w:t>
            </w:r>
            <w:r>
              <w:rPr>
                <w:rFonts w:hint="eastAsia" w:ascii="ＭＳ 明朝" w:hAnsi="ＭＳ 明朝"/>
              </w:rPr>
              <w:t>開示決定等の期限の特例</w:t>
            </w:r>
            <w:r>
              <w:rPr>
                <w:rFonts w:hint="default" w:ascii="ＭＳ 明朝" w:hAnsi="ＭＳ 明朝"/>
              </w:rPr>
              <w:t>)</w:t>
            </w:r>
            <w:r>
              <w:rPr>
                <w:rFonts w:hint="eastAsia" w:ascii="ＭＳ 明朝" w:hAnsi="ＭＳ 明朝"/>
              </w:rPr>
              <w:t>を適用する理由</w:t>
            </w:r>
          </w:p>
        </w:tc>
        <w:tc>
          <w:tcPr>
            <w:tcW w:w="6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449" w:hRule="atLeast"/>
        </w:trPr>
        <w:tc>
          <w:tcPr>
            <w:tcW w:w="2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残りの保有個人情報について開示決定等をする期限</w:t>
            </w:r>
          </w:p>
        </w:tc>
        <w:tc>
          <w:tcPr>
            <w:tcW w:w="6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　　　年　月　日までに可能な部分について開示決定等を行い、残りの部分については、次に掲載する期限までに開示決定等を行う予定です。</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　　　　年　月　日</w:t>
            </w: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