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1D4" w:rsidRPr="00EE0530" w:rsidRDefault="00EE0530" w:rsidP="00C75CC8">
      <w:pPr>
        <w:ind w:leftChars="-540" w:left="-1134" w:rightChars="-608" w:right="-1277"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>世帯類型別の問題傾向及び援助の視点</w:t>
      </w:r>
      <w:r w:rsidR="00DC59D3" w:rsidRPr="00E8694B">
        <w:rPr>
          <w:rFonts w:hint="eastAsia"/>
          <w:sz w:val="32"/>
        </w:rPr>
        <w:t xml:space="preserve">　</w:t>
      </w:r>
      <w:r w:rsidR="002D4DDB">
        <w:rPr>
          <w:rFonts w:hint="eastAsia"/>
          <w:sz w:val="32"/>
        </w:rPr>
        <w:t xml:space="preserve"> </w:t>
      </w:r>
      <w:r w:rsidR="00DC59D3" w:rsidRPr="00E8694B">
        <w:rPr>
          <w:rFonts w:hint="eastAsia"/>
          <w:sz w:val="32"/>
        </w:rPr>
        <w:t xml:space="preserve">　</w:t>
      </w:r>
      <w:r w:rsidR="002D4DDB">
        <w:rPr>
          <w:rFonts w:hint="eastAsia"/>
          <w:sz w:val="32"/>
        </w:rPr>
        <w:t xml:space="preserve">     </w:t>
      </w:r>
      <w:r w:rsidR="00DC59D3" w:rsidRPr="002D4DDB">
        <w:rPr>
          <w:rFonts w:hint="eastAsia"/>
          <w:sz w:val="20"/>
          <w:szCs w:val="20"/>
        </w:rPr>
        <w:t>（資料）</w:t>
      </w:r>
    </w:p>
    <w:p w:rsidR="00E911E2" w:rsidRPr="00EE0530" w:rsidRDefault="00E911E2" w:rsidP="00E911E2">
      <w:pPr>
        <w:ind w:leftChars="-540" w:left="-1134" w:rightChars="-608" w:right="-1277" w:firstLineChars="800" w:firstLine="1760"/>
        <w:rPr>
          <w:rFonts w:hint="eastAsia"/>
          <w:sz w:val="22"/>
        </w:rPr>
      </w:pPr>
    </w:p>
    <w:tbl>
      <w:tblPr>
        <w:tblW w:w="10065" w:type="dxa"/>
        <w:tblInd w:w="-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3401"/>
        <w:gridCol w:w="4253"/>
      </w:tblGrid>
      <w:tr w:rsidR="00E911E2" w:rsidRPr="00081B43" w:rsidTr="00081B43">
        <w:tc>
          <w:tcPr>
            <w:tcW w:w="2411" w:type="dxa"/>
          </w:tcPr>
          <w:p w:rsidR="00E911E2" w:rsidRPr="00081B43" w:rsidRDefault="00E911E2" w:rsidP="00081B43">
            <w:pPr>
              <w:snapToGrid w:val="0"/>
              <w:ind w:rightChars="-608" w:right="-1277"/>
              <w:rPr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E911E2" w:rsidRPr="00081B43" w:rsidRDefault="00E911E2" w:rsidP="00081B43">
            <w:pPr>
              <w:pStyle w:val="a4"/>
              <w:snapToGrid w:val="0"/>
              <w:spacing w:line="240" w:lineRule="auto"/>
              <w:jc w:val="center"/>
              <w:rPr>
                <w:b w:val="0"/>
                <w:sz w:val="20"/>
              </w:rPr>
            </w:pPr>
            <w:r w:rsidRPr="00081B43">
              <w:rPr>
                <w:rFonts w:hint="eastAsia"/>
                <w:b w:val="0"/>
                <w:sz w:val="20"/>
              </w:rPr>
              <w:t>予想される問題傾向</w:t>
            </w:r>
          </w:p>
        </w:tc>
        <w:tc>
          <w:tcPr>
            <w:tcW w:w="4253" w:type="dxa"/>
            <w:vAlign w:val="center"/>
          </w:tcPr>
          <w:p w:rsidR="00E911E2" w:rsidRPr="00081B43" w:rsidRDefault="00E911E2" w:rsidP="00081B43">
            <w:pPr>
              <w:pStyle w:val="a4"/>
              <w:snapToGrid w:val="0"/>
              <w:spacing w:line="240" w:lineRule="auto"/>
              <w:jc w:val="center"/>
              <w:rPr>
                <w:b w:val="0"/>
                <w:sz w:val="20"/>
              </w:rPr>
            </w:pPr>
            <w:r w:rsidRPr="00081B43">
              <w:rPr>
                <w:rFonts w:hint="eastAsia"/>
                <w:b w:val="0"/>
                <w:sz w:val="20"/>
              </w:rPr>
              <w:t>援　助　方　策</w:t>
            </w:r>
          </w:p>
        </w:tc>
      </w:tr>
      <w:tr w:rsidR="00DC59D3" w:rsidRPr="00081B43" w:rsidTr="00081B43">
        <w:trPr>
          <w:trHeight w:val="2452"/>
        </w:trPr>
        <w:tc>
          <w:tcPr>
            <w:tcW w:w="2411" w:type="dxa"/>
            <w:vAlign w:val="center"/>
          </w:tcPr>
          <w:p w:rsidR="00DC59D3" w:rsidRPr="00081B43" w:rsidRDefault="00DC59D3" w:rsidP="00081B43">
            <w:pPr>
              <w:widowControl/>
              <w:snapToGrid w:val="0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単身高齢者の世帯</w:t>
            </w:r>
          </w:p>
          <w:p w:rsidR="003141D4" w:rsidRPr="00081B43" w:rsidRDefault="003141D4" w:rsidP="00081B43">
            <w:pPr>
              <w:widowControl/>
              <w:snapToGrid w:val="0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</w:p>
          <w:p w:rsidR="00DC59D3" w:rsidRPr="00081B43" w:rsidRDefault="00DC59D3" w:rsidP="00081B43">
            <w:pPr>
              <w:widowControl/>
              <w:snapToGrid w:val="0"/>
              <w:jc w:val="center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高齢者のいる世帯</w:t>
            </w:r>
          </w:p>
        </w:tc>
        <w:tc>
          <w:tcPr>
            <w:tcW w:w="3401" w:type="dxa"/>
          </w:tcPr>
          <w:p w:rsidR="003141D4" w:rsidRPr="00081B43" w:rsidRDefault="003141D4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・生活環境の悪化</w:t>
            </w: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・健康管理の悪化</w:t>
            </w: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・扶養義務者との疎遠</w:t>
            </w: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・地域社会からの孤絶</w:t>
            </w: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・他との協調悪化</w:t>
            </w:r>
          </w:p>
          <w:p w:rsidR="00DC59D3" w:rsidRDefault="00DC59D3" w:rsidP="00081B43">
            <w:pPr>
              <w:widowControl/>
              <w:snapToGrid w:val="0"/>
              <w:rPr>
                <w:rFonts w:ascii="ＭＳ 明朝" w:hint="eastAsia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・生きがいの喪失</w:t>
            </w:r>
          </w:p>
          <w:p w:rsidR="00733CF7" w:rsidRPr="00081B43" w:rsidRDefault="00733CF7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>
              <w:rPr>
                <w:rFonts w:ascii="ＭＳ 明朝" w:hint="eastAsia"/>
                <w:spacing w:val="-6"/>
                <w:sz w:val="20"/>
                <w:szCs w:val="20"/>
              </w:rPr>
              <w:t>・孤立死、孤独死</w:t>
            </w:r>
          </w:p>
        </w:tc>
        <w:tc>
          <w:tcPr>
            <w:tcW w:w="4253" w:type="dxa"/>
          </w:tcPr>
          <w:p w:rsidR="003141D4" w:rsidRPr="00081B43" w:rsidRDefault="003141D4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・生活環境の状況把握と需要の検討</w:t>
            </w: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・状況により施設入所の検討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・状況により在宅サービスの利用を検討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・扶養義務者の状況把握と関係調整</w:t>
            </w: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・社会的活動助長の検討</w:t>
            </w: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・民生委員との連携（防災、社会参加）</w:t>
            </w:r>
          </w:p>
          <w:p w:rsidR="00DC59D3" w:rsidRDefault="00DC59D3" w:rsidP="00081B43">
            <w:pPr>
              <w:widowControl/>
              <w:snapToGrid w:val="0"/>
              <w:rPr>
                <w:rFonts w:ascii="ＭＳ 明朝" w:hint="eastAsia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・雇用条件の再検討（高齢者職業紹介等）</w:t>
            </w:r>
          </w:p>
          <w:p w:rsidR="00733CF7" w:rsidRPr="00081B43" w:rsidRDefault="00733CF7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>
              <w:rPr>
                <w:rFonts w:ascii="ＭＳ 明朝" w:hint="eastAsia"/>
                <w:spacing w:val="-6"/>
                <w:sz w:val="20"/>
                <w:szCs w:val="20"/>
              </w:rPr>
              <w:t>・配食サービス導入等による定期的な安否確認</w:t>
            </w:r>
          </w:p>
        </w:tc>
      </w:tr>
      <w:tr w:rsidR="00DC59D3" w:rsidRPr="00081B43" w:rsidTr="00081B43">
        <w:trPr>
          <w:trHeight w:val="2475"/>
        </w:trPr>
        <w:tc>
          <w:tcPr>
            <w:tcW w:w="2411" w:type="dxa"/>
            <w:vAlign w:val="center"/>
          </w:tcPr>
          <w:p w:rsidR="00DC59D3" w:rsidRPr="00081B43" w:rsidRDefault="00DC59D3" w:rsidP="00081B43">
            <w:pPr>
              <w:widowControl/>
              <w:snapToGrid w:val="0"/>
              <w:jc w:val="center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児童のみの世帯</w:t>
            </w:r>
          </w:p>
          <w:p w:rsidR="003141D4" w:rsidRPr="00081B43" w:rsidRDefault="003141D4" w:rsidP="00081B43">
            <w:pPr>
              <w:widowControl/>
              <w:snapToGrid w:val="0"/>
              <w:jc w:val="center"/>
              <w:rPr>
                <w:spacing w:val="-6"/>
                <w:sz w:val="20"/>
                <w:szCs w:val="20"/>
              </w:rPr>
            </w:pPr>
          </w:p>
          <w:p w:rsidR="00DC59D3" w:rsidRPr="00081B43" w:rsidRDefault="00DC59D3" w:rsidP="00081B43">
            <w:pPr>
              <w:widowControl/>
              <w:snapToGrid w:val="0"/>
              <w:jc w:val="center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児童のいる世帯</w:t>
            </w:r>
          </w:p>
        </w:tc>
        <w:tc>
          <w:tcPr>
            <w:tcW w:w="3401" w:type="dxa"/>
          </w:tcPr>
          <w:p w:rsidR="003141D4" w:rsidRPr="00081B43" w:rsidRDefault="003141D4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・生活環境の悪化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・健康管理の悪化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・養育者喪失による家事負担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・生計中心者喪失による収入減</w:t>
            </w:r>
          </w:p>
          <w:p w:rsidR="00DC59D3" w:rsidRPr="00081B43" w:rsidRDefault="00DC59D3" w:rsidP="00081B43">
            <w:pPr>
              <w:widowControl/>
              <w:snapToGrid w:val="0"/>
              <w:ind w:left="1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・生計の不均衡（教育費への食い込み）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・非行化</w:t>
            </w:r>
          </w:p>
          <w:p w:rsidR="00DC59D3" w:rsidRPr="00081B43" w:rsidRDefault="00DC59D3" w:rsidP="00081B43">
            <w:pPr>
              <w:snapToGrid w:val="0"/>
              <w:ind w:rightChars="-608" w:right="-1277"/>
              <w:rPr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・教育上の問題</w:t>
            </w:r>
          </w:p>
        </w:tc>
        <w:tc>
          <w:tcPr>
            <w:tcW w:w="4253" w:type="dxa"/>
          </w:tcPr>
          <w:p w:rsidR="003141D4" w:rsidRPr="00081B43" w:rsidRDefault="003141D4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・生活環境の状況把握と需要の検討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・状況により施設入所の検討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・状況により在宅サービスの利用を検討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・扶養義務者等による引き取り又は扶養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・心身状態の把握と適切な助言、指導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・教育問題（高校進学要件の検討他）</w:t>
            </w:r>
          </w:p>
          <w:p w:rsidR="00C21C9A" w:rsidRPr="00081B43" w:rsidRDefault="00DC59D3" w:rsidP="00081B43">
            <w:pPr>
              <w:snapToGrid w:val="0"/>
              <w:ind w:rightChars="-608" w:right="-1277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・学校、市子ども支援課、児童相談所、児童</w:t>
            </w:r>
          </w:p>
          <w:p w:rsidR="00DC59D3" w:rsidRPr="00081B43" w:rsidRDefault="00DC59D3" w:rsidP="00081B43">
            <w:pPr>
              <w:snapToGrid w:val="0"/>
              <w:ind w:rightChars="-608" w:right="-1277" w:firstLineChars="100" w:firstLine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委員との連携</w:t>
            </w:r>
          </w:p>
        </w:tc>
      </w:tr>
      <w:tr w:rsidR="00DC59D3" w:rsidRPr="00081B43" w:rsidTr="00081B43">
        <w:trPr>
          <w:trHeight w:val="2990"/>
        </w:trPr>
        <w:tc>
          <w:tcPr>
            <w:tcW w:w="2411" w:type="dxa"/>
            <w:vAlign w:val="center"/>
          </w:tcPr>
          <w:p w:rsidR="00DC59D3" w:rsidRPr="00081B43" w:rsidRDefault="00DC59D3" w:rsidP="00081B43">
            <w:pPr>
              <w:widowControl/>
              <w:snapToGrid w:val="0"/>
              <w:jc w:val="center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母</w:t>
            </w:r>
            <w:r w:rsidR="00C21C9A" w:rsidRPr="00081B43">
              <w:rPr>
                <w:rFonts w:hint="eastAsia"/>
                <w:spacing w:val="-6"/>
                <w:sz w:val="20"/>
                <w:szCs w:val="20"/>
              </w:rPr>
              <w:t xml:space="preserve">　</w:t>
            </w:r>
            <w:r w:rsidRPr="00081B43">
              <w:rPr>
                <w:rFonts w:hint="eastAsia"/>
                <w:spacing w:val="-6"/>
                <w:sz w:val="20"/>
                <w:szCs w:val="20"/>
              </w:rPr>
              <w:t>子</w:t>
            </w:r>
            <w:r w:rsidR="00C21C9A" w:rsidRPr="00081B43">
              <w:rPr>
                <w:rFonts w:hint="eastAsia"/>
                <w:spacing w:val="-6"/>
                <w:sz w:val="20"/>
                <w:szCs w:val="20"/>
              </w:rPr>
              <w:t xml:space="preserve">　</w:t>
            </w:r>
            <w:r w:rsidRPr="00081B43">
              <w:rPr>
                <w:rFonts w:hint="eastAsia"/>
                <w:spacing w:val="-6"/>
                <w:sz w:val="20"/>
                <w:szCs w:val="20"/>
              </w:rPr>
              <w:t>世</w:t>
            </w:r>
            <w:r w:rsidR="00C21C9A" w:rsidRPr="00081B43">
              <w:rPr>
                <w:rFonts w:hint="eastAsia"/>
                <w:spacing w:val="-6"/>
                <w:sz w:val="20"/>
                <w:szCs w:val="20"/>
              </w:rPr>
              <w:t xml:space="preserve">　</w:t>
            </w:r>
            <w:r w:rsidRPr="00081B43">
              <w:rPr>
                <w:rFonts w:hint="eastAsia"/>
                <w:spacing w:val="-6"/>
                <w:sz w:val="20"/>
                <w:szCs w:val="20"/>
              </w:rPr>
              <w:t>帯</w:t>
            </w:r>
          </w:p>
          <w:p w:rsidR="003141D4" w:rsidRPr="00081B43" w:rsidRDefault="003141D4" w:rsidP="00081B43">
            <w:pPr>
              <w:widowControl/>
              <w:snapToGrid w:val="0"/>
              <w:jc w:val="center"/>
              <w:rPr>
                <w:spacing w:val="-6"/>
                <w:sz w:val="20"/>
                <w:szCs w:val="20"/>
              </w:rPr>
            </w:pPr>
          </w:p>
          <w:p w:rsidR="00DC59D3" w:rsidRPr="00081B43" w:rsidRDefault="00DC59D3" w:rsidP="00081B43">
            <w:pPr>
              <w:widowControl/>
              <w:snapToGrid w:val="0"/>
              <w:jc w:val="center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父</w:t>
            </w:r>
            <w:r w:rsidR="00C21C9A" w:rsidRPr="00081B43">
              <w:rPr>
                <w:rFonts w:hint="eastAsia"/>
                <w:spacing w:val="-6"/>
                <w:sz w:val="20"/>
                <w:szCs w:val="20"/>
              </w:rPr>
              <w:t xml:space="preserve">　</w:t>
            </w:r>
            <w:r w:rsidRPr="00081B43">
              <w:rPr>
                <w:rFonts w:hint="eastAsia"/>
                <w:spacing w:val="-6"/>
                <w:sz w:val="20"/>
                <w:szCs w:val="20"/>
              </w:rPr>
              <w:t>子</w:t>
            </w:r>
            <w:r w:rsidR="00C21C9A" w:rsidRPr="00081B43">
              <w:rPr>
                <w:rFonts w:hint="eastAsia"/>
                <w:spacing w:val="-6"/>
                <w:sz w:val="20"/>
                <w:szCs w:val="20"/>
              </w:rPr>
              <w:t xml:space="preserve">　</w:t>
            </w:r>
            <w:r w:rsidRPr="00081B43">
              <w:rPr>
                <w:rFonts w:hint="eastAsia"/>
                <w:spacing w:val="-6"/>
                <w:sz w:val="20"/>
                <w:szCs w:val="20"/>
              </w:rPr>
              <w:t>世</w:t>
            </w:r>
            <w:r w:rsidR="00C21C9A" w:rsidRPr="00081B43">
              <w:rPr>
                <w:rFonts w:hint="eastAsia"/>
                <w:spacing w:val="-6"/>
                <w:sz w:val="20"/>
                <w:szCs w:val="20"/>
              </w:rPr>
              <w:t xml:space="preserve">　</w:t>
            </w:r>
            <w:r w:rsidRPr="00081B43">
              <w:rPr>
                <w:rFonts w:hint="eastAsia"/>
                <w:spacing w:val="-6"/>
                <w:sz w:val="20"/>
                <w:szCs w:val="20"/>
              </w:rPr>
              <w:t>帯</w:t>
            </w:r>
          </w:p>
        </w:tc>
        <w:tc>
          <w:tcPr>
            <w:tcW w:w="3401" w:type="dxa"/>
          </w:tcPr>
          <w:p w:rsidR="003141D4" w:rsidRPr="00081B43" w:rsidRDefault="003141D4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・生活環境の悪化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・健康管理の悪化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・扶養義務者との関係悪化</w:t>
            </w:r>
          </w:p>
          <w:p w:rsidR="00DC59D3" w:rsidRPr="00081B43" w:rsidRDefault="00733CF7" w:rsidP="00081B43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・生計中心者喪失による収入減</w:t>
            </w:r>
            <w:r w:rsidR="00DC59D3" w:rsidRPr="00081B43">
              <w:rPr>
                <w:rFonts w:hint="eastAsia"/>
                <w:spacing w:val="-6"/>
                <w:sz w:val="20"/>
                <w:szCs w:val="20"/>
              </w:rPr>
              <w:t>、稼働能力の制限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・養育状況の悪化</w:t>
            </w:r>
          </w:p>
          <w:p w:rsidR="00DC59D3" w:rsidRPr="00081B43" w:rsidRDefault="00DC59D3" w:rsidP="00081B43">
            <w:pPr>
              <w:snapToGrid w:val="0"/>
              <w:ind w:rightChars="-608" w:right="-1277"/>
              <w:rPr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・就学態度等の悪化</w:t>
            </w:r>
          </w:p>
        </w:tc>
        <w:tc>
          <w:tcPr>
            <w:tcW w:w="4253" w:type="dxa"/>
          </w:tcPr>
          <w:p w:rsidR="003141D4" w:rsidRPr="00081B43" w:rsidRDefault="003141D4" w:rsidP="00C75CC8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・生活環境の状況把握と需要の検討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・状況により在宅サービスの利用を検討</w:t>
            </w: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・扶養義務者との関係調整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・生別母子においては養育料の請求を指導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・公的保障の適用（年金、児童扶養手当等）</w:t>
            </w: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・稼働阻害要因の排除策検討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・自立支援プログラム、及び、就労助長のための各関係機関の活用を検討</w:t>
            </w: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・稼働可能者に対する就労指導</w:t>
            </w:r>
          </w:p>
          <w:p w:rsidR="00DC59D3" w:rsidRPr="00081B43" w:rsidRDefault="00DC59D3" w:rsidP="00081B43">
            <w:pPr>
              <w:snapToGrid w:val="0"/>
              <w:ind w:rightChars="-608" w:right="-1277"/>
              <w:rPr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・民生委員、児童相談所、各関係機関との連携</w:t>
            </w:r>
          </w:p>
        </w:tc>
      </w:tr>
      <w:tr w:rsidR="00DC59D3" w:rsidRPr="00081B43" w:rsidTr="00081B43">
        <w:trPr>
          <w:trHeight w:val="2582"/>
        </w:trPr>
        <w:tc>
          <w:tcPr>
            <w:tcW w:w="2411" w:type="dxa"/>
            <w:vAlign w:val="center"/>
          </w:tcPr>
          <w:p w:rsidR="00DC59D3" w:rsidRPr="00081B43" w:rsidRDefault="00DC59D3" w:rsidP="00081B43">
            <w:pPr>
              <w:snapToGrid w:val="0"/>
              <w:ind w:rightChars="-608" w:right="-1277" w:firstLineChars="50" w:firstLine="94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心身障がい者のいる世帯</w:t>
            </w:r>
          </w:p>
        </w:tc>
        <w:tc>
          <w:tcPr>
            <w:tcW w:w="3401" w:type="dxa"/>
          </w:tcPr>
          <w:p w:rsidR="003141D4" w:rsidRPr="00081B43" w:rsidRDefault="003141D4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・生活環境の悪化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・健康管理の悪化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・地域社会からの孤絶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・他との協調悪化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・自立意欲の喪失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・生きがいの喪失</w:t>
            </w:r>
          </w:p>
          <w:p w:rsidR="00DC59D3" w:rsidRPr="00081B43" w:rsidRDefault="00DC59D3" w:rsidP="00081B43">
            <w:pPr>
              <w:snapToGrid w:val="0"/>
              <w:ind w:rightChars="-608" w:right="-1277"/>
              <w:rPr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・稼働能力の喪失・制限</w:t>
            </w:r>
          </w:p>
        </w:tc>
        <w:tc>
          <w:tcPr>
            <w:tcW w:w="4253" w:type="dxa"/>
          </w:tcPr>
          <w:p w:rsidR="003141D4" w:rsidRPr="00081B43" w:rsidRDefault="003141D4" w:rsidP="00081B43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・生活環境の状況把握と需要の検討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・状況により施設入所又は在宅サービスの利用を検討</w:t>
            </w:r>
          </w:p>
          <w:p w:rsidR="00DC59D3" w:rsidRPr="00081B43" w:rsidRDefault="00DC59D3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・他法他施策の適用</w:t>
            </w:r>
          </w:p>
          <w:p w:rsidR="00DC59D3" w:rsidRPr="00081B43" w:rsidRDefault="00DC59D3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・社会的活動助長の検討</w:t>
            </w:r>
          </w:p>
          <w:p w:rsidR="00DC59D3" w:rsidRPr="00081B43" w:rsidRDefault="00DC59D3" w:rsidP="00081B43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・社会参画に向けて、デイケア、共同作業所等の利用を検討</w:t>
            </w:r>
          </w:p>
          <w:p w:rsidR="00DC59D3" w:rsidRPr="00081B43" w:rsidRDefault="00DC59D3" w:rsidP="00081B43">
            <w:pPr>
              <w:snapToGrid w:val="0"/>
              <w:ind w:rightChars="-608" w:right="-1277"/>
              <w:rPr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・稼働可能者に対する就労指導</w:t>
            </w:r>
          </w:p>
        </w:tc>
      </w:tr>
      <w:tr w:rsidR="00DC59D3" w:rsidRPr="00081B43" w:rsidTr="00081B43">
        <w:trPr>
          <w:trHeight w:val="1929"/>
        </w:trPr>
        <w:tc>
          <w:tcPr>
            <w:tcW w:w="2411" w:type="dxa"/>
            <w:vAlign w:val="center"/>
          </w:tcPr>
          <w:p w:rsidR="00DC59D3" w:rsidRPr="00081B43" w:rsidRDefault="00DC59D3" w:rsidP="00081B43">
            <w:pPr>
              <w:snapToGrid w:val="0"/>
              <w:ind w:rightChars="-608" w:right="-1277" w:firstLineChars="200" w:firstLine="376"/>
              <w:rPr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傷病者のいる世帯</w:t>
            </w:r>
          </w:p>
        </w:tc>
        <w:tc>
          <w:tcPr>
            <w:tcW w:w="3401" w:type="dxa"/>
          </w:tcPr>
          <w:p w:rsidR="003141D4" w:rsidRPr="00081B43" w:rsidRDefault="003141D4" w:rsidP="00081B43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</w:p>
          <w:p w:rsidR="009C767D" w:rsidRPr="00081B43" w:rsidRDefault="009C767D" w:rsidP="00081B43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・療養態度の悪化（疾病意識過剰や療養不専念）</w:t>
            </w:r>
          </w:p>
          <w:p w:rsidR="009C767D" w:rsidRPr="00081B43" w:rsidRDefault="009C767D" w:rsidP="00081B43">
            <w:pPr>
              <w:widowControl/>
              <w:snapToGrid w:val="0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・稼働能力の制限</w:t>
            </w:r>
          </w:p>
          <w:p w:rsidR="00C21C9A" w:rsidRPr="00081B43" w:rsidRDefault="009C767D" w:rsidP="00081B43">
            <w:pPr>
              <w:snapToGrid w:val="0"/>
              <w:ind w:rightChars="-608" w:right="-1277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・自立意欲の喪失（傷病を理由に稼働</w:t>
            </w:r>
          </w:p>
          <w:p w:rsidR="00DC59D3" w:rsidRPr="00081B43" w:rsidRDefault="009C767D" w:rsidP="00081B43">
            <w:pPr>
              <w:snapToGrid w:val="0"/>
              <w:ind w:rightChars="-608" w:right="-1277" w:firstLineChars="100" w:firstLine="188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しない）</w:t>
            </w:r>
          </w:p>
        </w:tc>
        <w:tc>
          <w:tcPr>
            <w:tcW w:w="4253" w:type="dxa"/>
          </w:tcPr>
          <w:p w:rsidR="003141D4" w:rsidRPr="00081B43" w:rsidRDefault="003141D4" w:rsidP="00C75CC8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</w:p>
          <w:p w:rsidR="009C767D" w:rsidRPr="00081B43" w:rsidRDefault="003141D4" w:rsidP="00081B43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・生活環境の状況把握と需要の検討</w:t>
            </w:r>
          </w:p>
          <w:p w:rsidR="009C767D" w:rsidRPr="00081B43" w:rsidRDefault="003141D4" w:rsidP="00081B43">
            <w:pPr>
              <w:widowControl/>
              <w:snapToGrid w:val="0"/>
              <w:ind w:left="188" w:hangingChars="100" w:hanging="188"/>
              <w:rPr>
                <w:spacing w:val="-6"/>
                <w:sz w:val="20"/>
                <w:szCs w:val="20"/>
              </w:rPr>
            </w:pPr>
            <w:r w:rsidRPr="00081B43">
              <w:rPr>
                <w:rFonts w:hint="eastAsia"/>
                <w:spacing w:val="-6"/>
                <w:sz w:val="20"/>
                <w:szCs w:val="20"/>
              </w:rPr>
              <w:t>・主治医との連携による、病状及</w:t>
            </w:r>
            <w:r w:rsidR="009C767D" w:rsidRPr="00081B43">
              <w:rPr>
                <w:rFonts w:hint="eastAsia"/>
                <w:spacing w:val="-6"/>
                <w:sz w:val="20"/>
                <w:szCs w:val="20"/>
              </w:rPr>
              <w:t>び稼働能力の把握</w:t>
            </w:r>
          </w:p>
          <w:p w:rsidR="009C767D" w:rsidRPr="00081B43" w:rsidRDefault="009C767D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・状況により在宅サービスの利用を検討</w:t>
            </w:r>
          </w:p>
          <w:p w:rsidR="009C767D" w:rsidRPr="00081B43" w:rsidRDefault="009C767D" w:rsidP="00081B43">
            <w:pPr>
              <w:widowControl/>
              <w:snapToGrid w:val="0"/>
              <w:rPr>
                <w:rFonts w:ascii="ＭＳ 明朝"/>
                <w:spacing w:val="-6"/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・他法他施策の適用</w:t>
            </w:r>
          </w:p>
          <w:p w:rsidR="00DC59D3" w:rsidRPr="00081B43" w:rsidRDefault="009C767D" w:rsidP="00081B43">
            <w:pPr>
              <w:snapToGrid w:val="0"/>
              <w:ind w:rightChars="-608" w:right="-1277"/>
              <w:rPr>
                <w:sz w:val="20"/>
                <w:szCs w:val="20"/>
              </w:rPr>
            </w:pPr>
            <w:r w:rsidRPr="00081B43">
              <w:rPr>
                <w:rFonts w:ascii="ＭＳ 明朝" w:hint="eastAsia"/>
                <w:spacing w:val="-6"/>
                <w:sz w:val="20"/>
                <w:szCs w:val="20"/>
              </w:rPr>
              <w:t>・稼働能力の検討、及び就労指導</w:t>
            </w:r>
          </w:p>
        </w:tc>
      </w:tr>
    </w:tbl>
    <w:p w:rsidR="00DC59D3" w:rsidRDefault="00C75CC8" w:rsidP="002D4DDB">
      <w:pPr>
        <w:ind w:rightChars="-608" w:right="-127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28.15pt;margin-top:50.25pt;width:45.8pt;height:25.95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color="white">
            <v:textbox style="mso-fit-shape-to-text:t">
              <w:txbxContent>
                <w:p w:rsidR="00C75CC8" w:rsidRPr="00550D21" w:rsidRDefault="004D29D1" w:rsidP="00C75CC8">
                  <w:pPr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550D21">
                    <w:rPr>
                      <w:rFonts w:ascii="ＭＳ 明朝" w:hAnsi="ＭＳ 明朝" w:hint="eastAsia"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</w:p>
    <w:sectPr w:rsidR="00DC59D3" w:rsidSect="00D03A3B">
      <w:footerReference w:type="default" r:id="rId7"/>
      <w:pgSz w:w="11906" w:h="16838"/>
      <w:pgMar w:top="992" w:right="2268" w:bottom="425" w:left="1134" w:header="851" w:footer="0" w:gutter="0"/>
      <w:pgNumType w:fmt="numberInDash"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9D7" w:rsidRDefault="006069D7" w:rsidP="003141D4">
      <w:r>
        <w:separator/>
      </w:r>
    </w:p>
  </w:endnote>
  <w:endnote w:type="continuationSeparator" w:id="0">
    <w:p w:rsidR="006069D7" w:rsidRDefault="006069D7" w:rsidP="0031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1D4" w:rsidRDefault="003141D4">
    <w:pPr>
      <w:pStyle w:val="a8"/>
      <w:jc w:val="center"/>
    </w:pPr>
  </w:p>
  <w:p w:rsidR="003141D4" w:rsidRDefault="003141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9D7" w:rsidRDefault="006069D7" w:rsidP="003141D4">
      <w:r>
        <w:separator/>
      </w:r>
    </w:p>
  </w:footnote>
  <w:footnote w:type="continuationSeparator" w:id="0">
    <w:p w:rsidR="006069D7" w:rsidRDefault="006069D7" w:rsidP="0031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9D3"/>
    <w:rsid w:val="00037364"/>
    <w:rsid w:val="00081B43"/>
    <w:rsid w:val="00095500"/>
    <w:rsid w:val="000B5843"/>
    <w:rsid w:val="000D1DAD"/>
    <w:rsid w:val="00181464"/>
    <w:rsid w:val="002D4DDB"/>
    <w:rsid w:val="00300768"/>
    <w:rsid w:val="003141D4"/>
    <w:rsid w:val="004D29D1"/>
    <w:rsid w:val="004D799E"/>
    <w:rsid w:val="00550D21"/>
    <w:rsid w:val="006069D7"/>
    <w:rsid w:val="00676034"/>
    <w:rsid w:val="007265DC"/>
    <w:rsid w:val="007316AE"/>
    <w:rsid w:val="00733CF7"/>
    <w:rsid w:val="007A5D9A"/>
    <w:rsid w:val="007E674C"/>
    <w:rsid w:val="00807B55"/>
    <w:rsid w:val="008370EC"/>
    <w:rsid w:val="00856C9D"/>
    <w:rsid w:val="00933F45"/>
    <w:rsid w:val="009C767D"/>
    <w:rsid w:val="009F5253"/>
    <w:rsid w:val="00A00C5E"/>
    <w:rsid w:val="00A04DE9"/>
    <w:rsid w:val="00A63595"/>
    <w:rsid w:val="00B125ED"/>
    <w:rsid w:val="00C21C9A"/>
    <w:rsid w:val="00C50B3C"/>
    <w:rsid w:val="00C57D83"/>
    <w:rsid w:val="00C75CC8"/>
    <w:rsid w:val="00CA6CA3"/>
    <w:rsid w:val="00CC594F"/>
    <w:rsid w:val="00D03A3B"/>
    <w:rsid w:val="00D12BED"/>
    <w:rsid w:val="00DC59D3"/>
    <w:rsid w:val="00E77614"/>
    <w:rsid w:val="00E911E2"/>
    <w:rsid w:val="00E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62CAAF-EF81-41D8-99CB-814309E1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9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DC59D3"/>
    <w:pPr>
      <w:spacing w:line="300" w:lineRule="auto"/>
    </w:pPr>
    <w:rPr>
      <w:b/>
      <w:sz w:val="18"/>
      <w:szCs w:val="20"/>
    </w:rPr>
  </w:style>
  <w:style w:type="character" w:customStyle="1" w:styleId="a5">
    <w:name w:val="本文 (文字)"/>
    <w:link w:val="a4"/>
    <w:rsid w:val="00DC59D3"/>
    <w:rPr>
      <w:rFonts w:ascii="Century" w:eastAsia="ＭＳ 明朝" w:hAnsi="Century" w:cs="Times New Roman"/>
      <w:b/>
      <w:sz w:val="18"/>
      <w:szCs w:val="20"/>
    </w:rPr>
  </w:style>
  <w:style w:type="paragraph" w:styleId="a6">
    <w:name w:val="header"/>
    <w:basedOn w:val="a"/>
    <w:link w:val="a7"/>
    <w:uiPriority w:val="99"/>
    <w:unhideWhenUsed/>
    <w:rsid w:val="00314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41D4"/>
  </w:style>
  <w:style w:type="paragraph" w:styleId="a8">
    <w:name w:val="footer"/>
    <w:basedOn w:val="a"/>
    <w:link w:val="a9"/>
    <w:uiPriority w:val="99"/>
    <w:unhideWhenUsed/>
    <w:rsid w:val="003141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41D4"/>
  </w:style>
  <w:style w:type="paragraph" w:styleId="aa">
    <w:name w:val="Balloon Text"/>
    <w:basedOn w:val="a"/>
    <w:link w:val="ab"/>
    <w:uiPriority w:val="99"/>
    <w:semiHidden/>
    <w:unhideWhenUsed/>
    <w:rsid w:val="00856C9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56C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4CC7-9E6B-4894-A4BE-0F5137E6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KIN09050</dc:creator>
  <cp:keywords/>
  <cp:lastModifiedBy>Hidenori Suzuki</cp:lastModifiedBy>
  <cp:revision>2</cp:revision>
  <cp:lastPrinted>2016-04-12T09:34:00Z</cp:lastPrinted>
  <dcterms:created xsi:type="dcterms:W3CDTF">2025-09-26T15:06:00Z</dcterms:created>
  <dcterms:modified xsi:type="dcterms:W3CDTF">2025-09-26T15:06:00Z</dcterms:modified>
</cp:coreProperties>
</file>